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FF1ACE" w14:textId="77777777" w:rsidR="00E23D2F" w:rsidRPr="008071B4" w:rsidRDefault="00E23D2F" w:rsidP="00E23D2F">
      <w:pPr>
        <w:rPr>
          <w:rFonts w:ascii="Times New Roman" w:hAnsi="Times New Roman" w:cs="Times New Roman"/>
          <w:b/>
          <w:bCs/>
          <w:sz w:val="20"/>
          <w:szCs w:val="20"/>
        </w:rPr>
      </w:pPr>
      <w:r w:rsidRPr="008071B4">
        <w:rPr>
          <w:rFonts w:ascii="Times New Roman" w:hAnsi="Times New Roman" w:cs="Times New Roman"/>
          <w:b/>
          <w:bCs/>
          <w:sz w:val="20"/>
          <w:szCs w:val="20"/>
        </w:rPr>
        <w:t>1. METHODS</w:t>
      </w:r>
    </w:p>
    <w:p w14:paraId="313A5006" w14:textId="77777777" w:rsidR="00255128" w:rsidRPr="008071B4" w:rsidRDefault="00E23D2F" w:rsidP="00E23D2F">
      <w:pPr>
        <w:rPr>
          <w:rFonts w:ascii="Times New Roman" w:hAnsi="Times New Roman" w:cs="Times New Roman"/>
          <w:sz w:val="20"/>
          <w:szCs w:val="20"/>
        </w:rPr>
      </w:pPr>
      <w:r w:rsidRPr="008071B4">
        <w:rPr>
          <w:rFonts w:ascii="Times New Roman" w:hAnsi="Times New Roman" w:cs="Times New Roman"/>
          <w:b/>
          <w:bCs/>
          <w:sz w:val="20"/>
          <w:szCs w:val="20"/>
        </w:rPr>
        <w:t>Short version (single paragraph)</w:t>
      </w:r>
      <w:r w:rsidR="00255128" w:rsidRPr="008071B4">
        <w:rPr>
          <w:rFonts w:ascii="Times New Roman" w:hAnsi="Times New Roman" w:cs="Times New Roman"/>
          <w:sz w:val="20"/>
          <w:szCs w:val="20"/>
        </w:rPr>
        <w:t xml:space="preserve"> </w:t>
      </w:r>
    </w:p>
    <w:p w14:paraId="16B42E20" w14:textId="7D5B5857" w:rsidR="00E23D2F" w:rsidRPr="008071B4" w:rsidRDefault="00255128" w:rsidP="00E23D2F">
      <w:pPr>
        <w:rPr>
          <w:rFonts w:ascii="Times New Roman" w:hAnsi="Times New Roman" w:cs="Times New Roman"/>
          <w:b/>
          <w:bCs/>
          <w:sz w:val="20"/>
          <w:szCs w:val="20"/>
        </w:rPr>
      </w:pPr>
      <w:r w:rsidRPr="008071B4">
        <w:rPr>
          <w:rFonts w:ascii="Times New Roman" w:hAnsi="Times New Roman" w:cs="Times New Roman"/>
          <w:b/>
          <w:bCs/>
          <w:sz w:val="20"/>
          <w:szCs w:val="20"/>
        </w:rPr>
        <w:t>Metabolite Profiling and Principal Component Analysis:</w:t>
      </w:r>
    </w:p>
    <w:p w14:paraId="55AA13BE" w14:textId="71F8E661" w:rsidR="00255128" w:rsidRPr="008071B4" w:rsidRDefault="00255128" w:rsidP="00C62203">
      <w:pPr>
        <w:jc w:val="both"/>
        <w:rPr>
          <w:rFonts w:ascii="Times New Roman" w:hAnsi="Times New Roman" w:cs="Times New Roman"/>
          <w:sz w:val="20"/>
          <w:szCs w:val="20"/>
        </w:rPr>
      </w:pPr>
      <w:r w:rsidRPr="008071B4">
        <w:rPr>
          <w:rFonts w:ascii="Times New Roman" w:hAnsi="Times New Roman" w:cs="Times New Roman"/>
          <w:sz w:val="20"/>
          <w:szCs w:val="20"/>
        </w:rPr>
        <w:t xml:space="preserve">Peak area data from three biological replicates of the hydrated and desiccated stages were used for multivariate analysis. For the combine analysis, each metabolite was represented in a six-dimensional feature space comprising its three hydrated- and three desiccated-stage replicate intensities, with a </w:t>
      </w:r>
      <w:proofErr w:type="gramStart"/>
      <w:r w:rsidRPr="008071B4">
        <w:rPr>
          <w:rFonts w:ascii="Times New Roman" w:hAnsi="Times New Roman" w:cs="Times New Roman"/>
          <w:sz w:val="20"/>
          <w:szCs w:val="20"/>
        </w:rPr>
        <w:t>zero value</w:t>
      </w:r>
      <w:proofErr w:type="gramEnd"/>
      <w:r w:rsidRPr="008071B4">
        <w:rPr>
          <w:rFonts w:ascii="Times New Roman" w:hAnsi="Times New Roman" w:cs="Times New Roman"/>
          <w:sz w:val="20"/>
          <w:szCs w:val="20"/>
        </w:rPr>
        <w:t xml:space="preserve"> assigned where a metabolite was not detected in a given stage. Peak areas were log2(x + 1)-transformed and standardised prior to principal component analysis, with the full metabolite set retained throughout. Each stage was additionally analysed separately using its own set of replicate measurements. All analyses were performed in Python 3 (scikit-learn, SciPy, pandas, </w:t>
      </w:r>
      <w:proofErr w:type="gramStart"/>
      <w:r w:rsidRPr="008071B4">
        <w:rPr>
          <w:rFonts w:ascii="Times New Roman" w:hAnsi="Times New Roman" w:cs="Times New Roman"/>
          <w:sz w:val="20"/>
          <w:szCs w:val="20"/>
        </w:rPr>
        <w:t>NumPy)</w:t>
      </w:r>
      <w:r w:rsidR="00C62203" w:rsidRPr="008071B4">
        <w:rPr>
          <w:rFonts w:ascii="Times New Roman" w:hAnsi="Times New Roman" w:cs="Times New Roman"/>
          <w:sz w:val="20"/>
          <w:szCs w:val="20"/>
        </w:rPr>
        <w:t>(</w:t>
      </w:r>
      <w:proofErr w:type="gramEnd"/>
      <w:r w:rsidR="00C62203" w:rsidRPr="008071B4">
        <w:rPr>
          <w:rFonts w:ascii="Times New Roman" w:hAnsi="Times New Roman" w:cs="Times New Roman"/>
          <w:sz w:val="20"/>
          <w:szCs w:val="20"/>
        </w:rPr>
        <w:t>Van Rossum and Drake, 2009; McKinney, 2010; Harris et al., 2020; Pedregosa et al., 2011; Virtanen et al., 2020; Hunter, 2007)</w:t>
      </w:r>
      <w:r w:rsidRPr="008071B4">
        <w:rPr>
          <w:rFonts w:ascii="Times New Roman" w:hAnsi="Times New Roman" w:cs="Times New Roman"/>
          <w:sz w:val="20"/>
          <w:szCs w:val="20"/>
        </w:rPr>
        <w:t xml:space="preserve">, with figures generated in matplotlib at 300 dpi; the full workflow was executed in Google </w:t>
      </w:r>
      <w:proofErr w:type="spellStart"/>
      <w:r w:rsidRPr="008071B4">
        <w:rPr>
          <w:rFonts w:ascii="Times New Roman" w:hAnsi="Times New Roman" w:cs="Times New Roman"/>
          <w:sz w:val="20"/>
          <w:szCs w:val="20"/>
        </w:rPr>
        <w:t>Colaboratory</w:t>
      </w:r>
      <w:proofErr w:type="spellEnd"/>
      <w:r w:rsidRPr="008071B4">
        <w:rPr>
          <w:rFonts w:ascii="Times New Roman" w:hAnsi="Times New Roman" w:cs="Times New Roman"/>
          <w:sz w:val="20"/>
          <w:szCs w:val="20"/>
        </w:rPr>
        <w:t xml:space="preserve"> to ensure browser-based reproducibility, and the corresponding code is provided as Supplementary File S1.</w:t>
      </w:r>
    </w:p>
    <w:p w14:paraId="6342F72B" w14:textId="77777777" w:rsidR="00C62203" w:rsidRPr="008071B4" w:rsidRDefault="00C62203" w:rsidP="00C62203">
      <w:pPr>
        <w:jc w:val="both"/>
        <w:rPr>
          <w:rFonts w:ascii="Times New Roman" w:hAnsi="Times New Roman" w:cs="Times New Roman"/>
          <w:sz w:val="20"/>
          <w:szCs w:val="20"/>
        </w:rPr>
      </w:pPr>
    </w:p>
    <w:p w14:paraId="721F53E9" w14:textId="6E3ED167" w:rsidR="009E0C45" w:rsidRPr="008071B4" w:rsidRDefault="00E23D2F">
      <w:pPr>
        <w:rPr>
          <w:rFonts w:ascii="Times New Roman" w:hAnsi="Times New Roman" w:cs="Times New Roman"/>
          <w:sz w:val="20"/>
          <w:szCs w:val="20"/>
        </w:rPr>
      </w:pPr>
      <w:r w:rsidRPr="008071B4">
        <w:rPr>
          <w:rFonts w:ascii="Times New Roman" w:hAnsi="Times New Roman" w:cs="Times New Roman"/>
          <w:sz w:val="20"/>
          <w:szCs w:val="20"/>
        </w:rPr>
        <w:t>All analyses were implemented in Python 3.12 (Van Rossum and Drake, 2009). Excel files were read with pandas (McKinney, 2010), numerical operations used NumPy (Harris et al., 2020), and standardisation and principal component analysis were performed with scikit-learn (Pedregosa et al., 2011). Descriptive statistics, kernel density estimates and Shapiro-Wilk normality tests were computed with SciPy (Virtanen et al., 2020). All figures, including the three-dimensional score plots, density distributions and hexagonal binning maps, were generated with matplotlib (Hunter, 2007) at 300 dpi in RGB colour space, using the colour-blind-safe Okabe-Ito palette.</w:t>
      </w:r>
    </w:p>
    <w:p w14:paraId="6F38BDF1" w14:textId="785EF24B" w:rsidR="00E23D2F" w:rsidRPr="008071B4" w:rsidRDefault="00E23D2F">
      <w:pPr>
        <w:rPr>
          <w:rFonts w:ascii="Times New Roman" w:hAnsi="Times New Roman" w:cs="Times New Roman"/>
          <w:sz w:val="20"/>
          <w:szCs w:val="20"/>
        </w:rPr>
      </w:pPr>
      <w:r w:rsidRPr="008071B4">
        <w:rPr>
          <w:rFonts w:ascii="Times New Roman" w:hAnsi="Times New Roman" w:cs="Times New Roman"/>
          <w:sz w:val="20"/>
          <w:szCs w:val="20"/>
        </w:rPr>
        <w:t xml:space="preserve">Reference </w:t>
      </w:r>
    </w:p>
    <w:p w14:paraId="1AE181FD" w14:textId="77777777" w:rsidR="00E23D2F" w:rsidRPr="008071B4" w:rsidRDefault="00E23D2F" w:rsidP="00E23D2F">
      <w:pPr>
        <w:rPr>
          <w:rFonts w:ascii="Times New Roman" w:hAnsi="Times New Roman" w:cs="Times New Roman"/>
          <w:sz w:val="20"/>
          <w:szCs w:val="20"/>
        </w:rPr>
      </w:pPr>
      <w:proofErr w:type="gramStart"/>
      <w:r w:rsidRPr="008071B4">
        <w:rPr>
          <w:rFonts w:ascii="Times New Roman" w:hAnsi="Times New Roman" w:cs="Times New Roman"/>
          <w:sz w:val="20"/>
          <w:szCs w:val="20"/>
        </w:rPr>
        <w:t>  Harris</w:t>
      </w:r>
      <w:proofErr w:type="gramEnd"/>
      <w:r w:rsidRPr="008071B4">
        <w:rPr>
          <w:rFonts w:ascii="Times New Roman" w:hAnsi="Times New Roman" w:cs="Times New Roman"/>
          <w:sz w:val="20"/>
          <w:szCs w:val="20"/>
        </w:rPr>
        <w:t xml:space="preserve">, C.R., Millman, K.J., van der Walt, S.J., et al. (2020) Array programming with NumPy. </w:t>
      </w:r>
      <w:r w:rsidRPr="008071B4">
        <w:rPr>
          <w:rFonts w:ascii="Times New Roman" w:hAnsi="Times New Roman" w:cs="Times New Roman"/>
          <w:i/>
          <w:iCs/>
          <w:sz w:val="20"/>
          <w:szCs w:val="20"/>
        </w:rPr>
        <w:t>Nature</w:t>
      </w:r>
      <w:r w:rsidRPr="008071B4">
        <w:rPr>
          <w:rFonts w:ascii="Times New Roman" w:hAnsi="Times New Roman" w:cs="Times New Roman"/>
          <w:sz w:val="20"/>
          <w:szCs w:val="20"/>
        </w:rPr>
        <w:t xml:space="preserve"> 585, 357-362. </w:t>
      </w:r>
    </w:p>
    <w:p w14:paraId="58449642" w14:textId="77777777" w:rsidR="00E23D2F" w:rsidRPr="008071B4" w:rsidRDefault="00E23D2F" w:rsidP="00E23D2F">
      <w:pPr>
        <w:rPr>
          <w:rFonts w:ascii="Times New Roman" w:hAnsi="Times New Roman" w:cs="Times New Roman"/>
          <w:sz w:val="20"/>
          <w:szCs w:val="20"/>
        </w:rPr>
      </w:pPr>
      <w:proofErr w:type="gramStart"/>
      <w:r w:rsidRPr="008071B4">
        <w:rPr>
          <w:rFonts w:ascii="Times New Roman" w:hAnsi="Times New Roman" w:cs="Times New Roman"/>
          <w:sz w:val="20"/>
          <w:szCs w:val="20"/>
        </w:rPr>
        <w:t>  Hunter</w:t>
      </w:r>
      <w:proofErr w:type="gramEnd"/>
      <w:r w:rsidRPr="008071B4">
        <w:rPr>
          <w:rFonts w:ascii="Times New Roman" w:hAnsi="Times New Roman" w:cs="Times New Roman"/>
          <w:sz w:val="20"/>
          <w:szCs w:val="20"/>
        </w:rPr>
        <w:t xml:space="preserve">, J.D. (2007) Matplotlib: a 2D graphics environment. </w:t>
      </w:r>
      <w:r w:rsidRPr="008071B4">
        <w:rPr>
          <w:rFonts w:ascii="Times New Roman" w:hAnsi="Times New Roman" w:cs="Times New Roman"/>
          <w:i/>
          <w:iCs/>
          <w:sz w:val="20"/>
          <w:szCs w:val="20"/>
        </w:rPr>
        <w:t>Computing in Science &amp; Engineering</w:t>
      </w:r>
      <w:r w:rsidRPr="008071B4">
        <w:rPr>
          <w:rFonts w:ascii="Times New Roman" w:hAnsi="Times New Roman" w:cs="Times New Roman"/>
          <w:sz w:val="20"/>
          <w:szCs w:val="20"/>
        </w:rPr>
        <w:t xml:space="preserve"> 9(3), 90-95. </w:t>
      </w:r>
    </w:p>
    <w:p w14:paraId="5A454987" w14:textId="77777777" w:rsidR="00E23D2F" w:rsidRPr="008071B4" w:rsidRDefault="00E23D2F" w:rsidP="00E23D2F">
      <w:pPr>
        <w:rPr>
          <w:rFonts w:ascii="Times New Roman" w:hAnsi="Times New Roman" w:cs="Times New Roman"/>
          <w:sz w:val="20"/>
          <w:szCs w:val="20"/>
        </w:rPr>
      </w:pPr>
      <w:proofErr w:type="gramStart"/>
      <w:r w:rsidRPr="008071B4">
        <w:rPr>
          <w:rFonts w:ascii="Times New Roman" w:hAnsi="Times New Roman" w:cs="Times New Roman"/>
          <w:sz w:val="20"/>
          <w:szCs w:val="20"/>
        </w:rPr>
        <w:t>  McKinney</w:t>
      </w:r>
      <w:proofErr w:type="gramEnd"/>
      <w:r w:rsidRPr="008071B4">
        <w:rPr>
          <w:rFonts w:ascii="Times New Roman" w:hAnsi="Times New Roman" w:cs="Times New Roman"/>
          <w:sz w:val="20"/>
          <w:szCs w:val="20"/>
        </w:rPr>
        <w:t xml:space="preserve">, W. (2010) Data structures for statistical computing in Python. In: </w:t>
      </w:r>
      <w:r w:rsidRPr="008071B4">
        <w:rPr>
          <w:rFonts w:ascii="Times New Roman" w:hAnsi="Times New Roman" w:cs="Times New Roman"/>
          <w:i/>
          <w:iCs/>
          <w:sz w:val="20"/>
          <w:szCs w:val="20"/>
        </w:rPr>
        <w:t>Proceedings of the 9th Python in Science Conference</w:t>
      </w:r>
      <w:r w:rsidRPr="008071B4">
        <w:rPr>
          <w:rFonts w:ascii="Times New Roman" w:hAnsi="Times New Roman" w:cs="Times New Roman"/>
          <w:sz w:val="20"/>
          <w:szCs w:val="20"/>
        </w:rPr>
        <w:t xml:space="preserve">, pp. 56-61. </w:t>
      </w:r>
    </w:p>
    <w:p w14:paraId="2F229AEF" w14:textId="77777777" w:rsidR="00E23D2F" w:rsidRPr="008071B4" w:rsidRDefault="00E23D2F" w:rsidP="00E23D2F">
      <w:pPr>
        <w:rPr>
          <w:rFonts w:ascii="Times New Roman" w:hAnsi="Times New Roman" w:cs="Times New Roman"/>
          <w:sz w:val="20"/>
          <w:szCs w:val="20"/>
        </w:rPr>
      </w:pPr>
      <w:proofErr w:type="gramStart"/>
      <w:r w:rsidRPr="008071B4">
        <w:rPr>
          <w:rFonts w:ascii="Times New Roman" w:hAnsi="Times New Roman" w:cs="Times New Roman"/>
          <w:sz w:val="20"/>
          <w:szCs w:val="20"/>
        </w:rPr>
        <w:t></w:t>
      </w:r>
      <w:r w:rsidRPr="008071B4">
        <w:rPr>
          <w:rFonts w:ascii="Times New Roman" w:hAnsi="Times New Roman" w:cs="Times New Roman"/>
          <w:sz w:val="20"/>
          <w:szCs w:val="20"/>
          <w:lang w:val="pt-BR"/>
        </w:rPr>
        <w:t xml:space="preserve">  Pedregosa</w:t>
      </w:r>
      <w:proofErr w:type="gramEnd"/>
      <w:r w:rsidRPr="008071B4">
        <w:rPr>
          <w:rFonts w:ascii="Times New Roman" w:hAnsi="Times New Roman" w:cs="Times New Roman"/>
          <w:sz w:val="20"/>
          <w:szCs w:val="20"/>
          <w:lang w:val="pt-BR"/>
        </w:rPr>
        <w:t xml:space="preserve">, F., Varoquaux, G., Gramfort, A., et al. </w:t>
      </w:r>
      <w:r w:rsidRPr="008071B4">
        <w:rPr>
          <w:rFonts w:ascii="Times New Roman" w:hAnsi="Times New Roman" w:cs="Times New Roman"/>
          <w:sz w:val="20"/>
          <w:szCs w:val="20"/>
        </w:rPr>
        <w:t xml:space="preserve">(2011) Scikit-learn: machine learning in Python. </w:t>
      </w:r>
      <w:r w:rsidRPr="008071B4">
        <w:rPr>
          <w:rFonts w:ascii="Times New Roman" w:hAnsi="Times New Roman" w:cs="Times New Roman"/>
          <w:i/>
          <w:iCs/>
          <w:sz w:val="20"/>
          <w:szCs w:val="20"/>
        </w:rPr>
        <w:t>Journal of Machine Learning Research</w:t>
      </w:r>
      <w:r w:rsidRPr="008071B4">
        <w:rPr>
          <w:rFonts w:ascii="Times New Roman" w:hAnsi="Times New Roman" w:cs="Times New Roman"/>
          <w:sz w:val="20"/>
          <w:szCs w:val="20"/>
        </w:rPr>
        <w:t xml:space="preserve"> 12, 2825-2830. </w:t>
      </w:r>
    </w:p>
    <w:p w14:paraId="5D9E82F6" w14:textId="77777777" w:rsidR="00E23D2F" w:rsidRPr="008071B4" w:rsidRDefault="00E23D2F" w:rsidP="00E23D2F">
      <w:pPr>
        <w:rPr>
          <w:rFonts w:ascii="Times New Roman" w:hAnsi="Times New Roman" w:cs="Times New Roman"/>
          <w:sz w:val="20"/>
          <w:szCs w:val="20"/>
        </w:rPr>
      </w:pPr>
      <w:proofErr w:type="gramStart"/>
      <w:r w:rsidRPr="008071B4">
        <w:rPr>
          <w:rFonts w:ascii="Times New Roman" w:hAnsi="Times New Roman" w:cs="Times New Roman"/>
          <w:sz w:val="20"/>
          <w:szCs w:val="20"/>
        </w:rPr>
        <w:t>  Van</w:t>
      </w:r>
      <w:proofErr w:type="gramEnd"/>
      <w:r w:rsidRPr="008071B4">
        <w:rPr>
          <w:rFonts w:ascii="Times New Roman" w:hAnsi="Times New Roman" w:cs="Times New Roman"/>
          <w:sz w:val="20"/>
          <w:szCs w:val="20"/>
        </w:rPr>
        <w:t xml:space="preserve"> Rossum, G. and Drake, F.L. (2009) </w:t>
      </w:r>
      <w:r w:rsidRPr="008071B4">
        <w:rPr>
          <w:rFonts w:ascii="Times New Roman" w:hAnsi="Times New Roman" w:cs="Times New Roman"/>
          <w:i/>
          <w:iCs/>
          <w:sz w:val="20"/>
          <w:szCs w:val="20"/>
        </w:rPr>
        <w:t>Python 3 Reference Manual</w:t>
      </w:r>
      <w:r w:rsidRPr="008071B4">
        <w:rPr>
          <w:rFonts w:ascii="Times New Roman" w:hAnsi="Times New Roman" w:cs="Times New Roman"/>
          <w:sz w:val="20"/>
          <w:szCs w:val="20"/>
        </w:rPr>
        <w:t xml:space="preserve">. </w:t>
      </w:r>
      <w:proofErr w:type="spellStart"/>
      <w:r w:rsidRPr="008071B4">
        <w:rPr>
          <w:rFonts w:ascii="Times New Roman" w:hAnsi="Times New Roman" w:cs="Times New Roman"/>
          <w:sz w:val="20"/>
          <w:szCs w:val="20"/>
        </w:rPr>
        <w:t>Scotts</w:t>
      </w:r>
      <w:proofErr w:type="spellEnd"/>
      <w:r w:rsidRPr="008071B4">
        <w:rPr>
          <w:rFonts w:ascii="Times New Roman" w:hAnsi="Times New Roman" w:cs="Times New Roman"/>
          <w:sz w:val="20"/>
          <w:szCs w:val="20"/>
        </w:rPr>
        <w:t xml:space="preserve"> Valley, CA: CreateSpace. </w:t>
      </w:r>
    </w:p>
    <w:p w14:paraId="56F51CD2" w14:textId="77777777" w:rsidR="00E44290" w:rsidRPr="008071B4" w:rsidRDefault="00E44290" w:rsidP="00E23D2F">
      <w:pPr>
        <w:rPr>
          <w:rFonts w:ascii="Times New Roman" w:hAnsi="Times New Roman" w:cs="Times New Roman"/>
          <w:sz w:val="20"/>
          <w:szCs w:val="20"/>
        </w:rPr>
      </w:pPr>
    </w:p>
    <w:p w14:paraId="2A774933" w14:textId="251303CA" w:rsidR="00E23D2F" w:rsidRPr="008071B4" w:rsidRDefault="00E23D2F" w:rsidP="00E23D2F">
      <w:pPr>
        <w:rPr>
          <w:rFonts w:ascii="Times New Roman" w:hAnsi="Times New Roman" w:cs="Times New Roman"/>
          <w:sz w:val="20"/>
          <w:szCs w:val="20"/>
        </w:rPr>
      </w:pPr>
      <w:proofErr w:type="gramStart"/>
      <w:r w:rsidRPr="008071B4">
        <w:rPr>
          <w:rFonts w:ascii="Times New Roman" w:hAnsi="Times New Roman" w:cs="Times New Roman"/>
          <w:sz w:val="20"/>
          <w:szCs w:val="20"/>
        </w:rPr>
        <w:t>  Virtanen</w:t>
      </w:r>
      <w:proofErr w:type="gramEnd"/>
      <w:r w:rsidRPr="008071B4">
        <w:rPr>
          <w:rFonts w:ascii="Times New Roman" w:hAnsi="Times New Roman" w:cs="Times New Roman"/>
          <w:sz w:val="20"/>
          <w:szCs w:val="20"/>
        </w:rPr>
        <w:t xml:space="preserve">, P., </w:t>
      </w:r>
      <w:proofErr w:type="spellStart"/>
      <w:r w:rsidRPr="008071B4">
        <w:rPr>
          <w:rFonts w:ascii="Times New Roman" w:hAnsi="Times New Roman" w:cs="Times New Roman"/>
          <w:sz w:val="20"/>
          <w:szCs w:val="20"/>
        </w:rPr>
        <w:t>Gommers</w:t>
      </w:r>
      <w:proofErr w:type="spellEnd"/>
      <w:r w:rsidRPr="008071B4">
        <w:rPr>
          <w:rFonts w:ascii="Times New Roman" w:hAnsi="Times New Roman" w:cs="Times New Roman"/>
          <w:sz w:val="20"/>
          <w:szCs w:val="20"/>
        </w:rPr>
        <w:t xml:space="preserve">, R., Oliphant, T.E., et al. (2020) SciPy 1.0: fundamental algorithms for scientific computing in Python. </w:t>
      </w:r>
      <w:r w:rsidRPr="008071B4">
        <w:rPr>
          <w:rFonts w:ascii="Times New Roman" w:hAnsi="Times New Roman" w:cs="Times New Roman"/>
          <w:i/>
          <w:iCs/>
          <w:sz w:val="20"/>
          <w:szCs w:val="20"/>
        </w:rPr>
        <w:t>Nature Methods</w:t>
      </w:r>
      <w:r w:rsidRPr="008071B4">
        <w:rPr>
          <w:rFonts w:ascii="Times New Roman" w:hAnsi="Times New Roman" w:cs="Times New Roman"/>
          <w:sz w:val="20"/>
          <w:szCs w:val="20"/>
        </w:rPr>
        <w:t xml:space="preserve"> 17, 261-272.</w:t>
      </w:r>
    </w:p>
    <w:p w14:paraId="52DFB577" w14:textId="77777777" w:rsidR="005C7335" w:rsidRPr="008071B4" w:rsidRDefault="005C7335" w:rsidP="00E23D2F">
      <w:pPr>
        <w:rPr>
          <w:rFonts w:ascii="Times New Roman" w:hAnsi="Times New Roman" w:cs="Times New Roman"/>
          <w:sz w:val="20"/>
          <w:szCs w:val="20"/>
        </w:rPr>
      </w:pPr>
    </w:p>
    <w:p w14:paraId="0C5569A8" w14:textId="77777777" w:rsidR="00E44290" w:rsidRPr="008071B4" w:rsidRDefault="00E44290" w:rsidP="00E44290">
      <w:pPr>
        <w:rPr>
          <w:rFonts w:ascii="Times New Roman" w:hAnsi="Times New Roman" w:cs="Times New Roman"/>
          <w:sz w:val="20"/>
          <w:szCs w:val="20"/>
        </w:rPr>
      </w:pPr>
      <w:r w:rsidRPr="008071B4">
        <w:rPr>
          <w:rFonts w:ascii="Times New Roman" w:hAnsi="Times New Roman" w:cs="Times New Roman"/>
          <w:sz w:val="20"/>
          <w:szCs w:val="20"/>
        </w:rPr>
        <w:t xml:space="preserve">Harris, C. R., Millman, K. J., van der Walt, S. J., et al. (2020). Array programming with NumPy. </w:t>
      </w:r>
      <w:r w:rsidRPr="008071B4">
        <w:rPr>
          <w:rFonts w:ascii="Times New Roman" w:hAnsi="Times New Roman" w:cs="Times New Roman"/>
          <w:i/>
          <w:iCs/>
          <w:sz w:val="20"/>
          <w:szCs w:val="20"/>
        </w:rPr>
        <w:t>Nature</w:t>
      </w:r>
      <w:r w:rsidRPr="008071B4">
        <w:rPr>
          <w:rFonts w:ascii="Times New Roman" w:hAnsi="Times New Roman" w:cs="Times New Roman"/>
          <w:sz w:val="20"/>
          <w:szCs w:val="20"/>
        </w:rPr>
        <w:t xml:space="preserve">, </w:t>
      </w:r>
      <w:r w:rsidRPr="008071B4">
        <w:rPr>
          <w:rFonts w:ascii="Times New Roman" w:hAnsi="Times New Roman" w:cs="Times New Roman"/>
          <w:i/>
          <w:iCs/>
          <w:sz w:val="20"/>
          <w:szCs w:val="20"/>
        </w:rPr>
        <w:t>585</w:t>
      </w:r>
      <w:r w:rsidRPr="008071B4">
        <w:rPr>
          <w:rFonts w:ascii="Times New Roman" w:hAnsi="Times New Roman" w:cs="Times New Roman"/>
          <w:sz w:val="20"/>
          <w:szCs w:val="20"/>
        </w:rPr>
        <w:t xml:space="preserve">, 357–362. </w:t>
      </w:r>
      <w:hyperlink r:id="rId4" w:history="1">
        <w:r w:rsidRPr="008071B4">
          <w:rPr>
            <w:rStyle w:val="Hyperlink"/>
            <w:rFonts w:ascii="Times New Roman" w:hAnsi="Times New Roman" w:cs="Times New Roman"/>
            <w:sz w:val="20"/>
            <w:szCs w:val="20"/>
          </w:rPr>
          <w:t>https://doi.org/10.1038/s41586-020-2649-2</w:t>
        </w:r>
      </w:hyperlink>
    </w:p>
    <w:p w14:paraId="43C31B3C" w14:textId="77777777" w:rsidR="00E44290" w:rsidRPr="008071B4" w:rsidRDefault="00E44290" w:rsidP="00E44290">
      <w:pPr>
        <w:rPr>
          <w:rFonts w:ascii="Times New Roman" w:hAnsi="Times New Roman" w:cs="Times New Roman"/>
          <w:sz w:val="20"/>
          <w:szCs w:val="20"/>
        </w:rPr>
      </w:pPr>
      <w:r w:rsidRPr="008071B4">
        <w:rPr>
          <w:rFonts w:ascii="Times New Roman" w:hAnsi="Times New Roman" w:cs="Times New Roman"/>
          <w:sz w:val="20"/>
          <w:szCs w:val="20"/>
        </w:rPr>
        <w:t xml:space="preserve">Hunter, J. D. (2007). Matplotlib: A 2D graphics environment. </w:t>
      </w:r>
      <w:r w:rsidRPr="008071B4">
        <w:rPr>
          <w:rFonts w:ascii="Times New Roman" w:hAnsi="Times New Roman" w:cs="Times New Roman"/>
          <w:i/>
          <w:iCs/>
          <w:sz w:val="20"/>
          <w:szCs w:val="20"/>
        </w:rPr>
        <w:t>Computing in Science &amp; Engineering</w:t>
      </w:r>
      <w:r w:rsidRPr="008071B4">
        <w:rPr>
          <w:rFonts w:ascii="Times New Roman" w:hAnsi="Times New Roman" w:cs="Times New Roman"/>
          <w:sz w:val="20"/>
          <w:szCs w:val="20"/>
        </w:rPr>
        <w:t xml:space="preserve">, </w:t>
      </w:r>
      <w:r w:rsidRPr="008071B4">
        <w:rPr>
          <w:rFonts w:ascii="Times New Roman" w:hAnsi="Times New Roman" w:cs="Times New Roman"/>
          <w:i/>
          <w:iCs/>
          <w:sz w:val="20"/>
          <w:szCs w:val="20"/>
        </w:rPr>
        <w:t>9</w:t>
      </w:r>
      <w:r w:rsidRPr="008071B4">
        <w:rPr>
          <w:rFonts w:ascii="Times New Roman" w:hAnsi="Times New Roman" w:cs="Times New Roman"/>
          <w:sz w:val="20"/>
          <w:szCs w:val="20"/>
        </w:rPr>
        <w:t xml:space="preserve">(3), 90–95. </w:t>
      </w:r>
      <w:hyperlink r:id="rId5" w:history="1">
        <w:r w:rsidRPr="008071B4">
          <w:rPr>
            <w:rStyle w:val="Hyperlink"/>
            <w:rFonts w:ascii="Times New Roman" w:hAnsi="Times New Roman" w:cs="Times New Roman"/>
            <w:sz w:val="20"/>
            <w:szCs w:val="20"/>
          </w:rPr>
          <w:t>https://doi.org/10.1109/MCSE.2007.55</w:t>
        </w:r>
      </w:hyperlink>
    </w:p>
    <w:p w14:paraId="2EF8B865" w14:textId="77777777" w:rsidR="00E44290" w:rsidRPr="008071B4" w:rsidRDefault="00E44290" w:rsidP="00E44290">
      <w:pPr>
        <w:rPr>
          <w:rFonts w:ascii="Times New Roman" w:hAnsi="Times New Roman" w:cs="Times New Roman"/>
          <w:sz w:val="20"/>
          <w:szCs w:val="20"/>
        </w:rPr>
      </w:pPr>
      <w:r w:rsidRPr="008071B4">
        <w:rPr>
          <w:rFonts w:ascii="Times New Roman" w:hAnsi="Times New Roman" w:cs="Times New Roman"/>
          <w:sz w:val="20"/>
          <w:szCs w:val="20"/>
        </w:rPr>
        <w:t xml:space="preserve">McKinney, W. (2010). Data structures for statistical computing in Python. In </w:t>
      </w:r>
      <w:r w:rsidRPr="008071B4">
        <w:rPr>
          <w:rFonts w:ascii="Times New Roman" w:hAnsi="Times New Roman" w:cs="Times New Roman"/>
          <w:i/>
          <w:iCs/>
          <w:sz w:val="20"/>
          <w:szCs w:val="20"/>
        </w:rPr>
        <w:t>Proceedings of the 9th Python in Science Conference</w:t>
      </w:r>
      <w:r w:rsidRPr="008071B4">
        <w:rPr>
          <w:rFonts w:ascii="Times New Roman" w:hAnsi="Times New Roman" w:cs="Times New Roman"/>
          <w:sz w:val="20"/>
          <w:szCs w:val="20"/>
        </w:rPr>
        <w:t xml:space="preserve"> (pp. 56–61).</w:t>
      </w:r>
    </w:p>
    <w:p w14:paraId="16C6CE3D" w14:textId="77777777" w:rsidR="00E44290" w:rsidRPr="008071B4" w:rsidRDefault="00E44290" w:rsidP="00E44290">
      <w:pPr>
        <w:rPr>
          <w:rFonts w:ascii="Times New Roman" w:hAnsi="Times New Roman" w:cs="Times New Roman"/>
          <w:sz w:val="20"/>
          <w:szCs w:val="20"/>
        </w:rPr>
      </w:pPr>
      <w:r w:rsidRPr="008071B4">
        <w:rPr>
          <w:rFonts w:ascii="Times New Roman" w:hAnsi="Times New Roman" w:cs="Times New Roman"/>
          <w:sz w:val="20"/>
          <w:szCs w:val="20"/>
          <w:lang w:val="pt-BR"/>
        </w:rPr>
        <w:lastRenderedPageBreak/>
        <w:t xml:space="preserve">Pedregosa, F., Varoquaux, G., Gramfort, A., et al. </w:t>
      </w:r>
      <w:r w:rsidRPr="008071B4">
        <w:rPr>
          <w:rFonts w:ascii="Times New Roman" w:hAnsi="Times New Roman" w:cs="Times New Roman"/>
          <w:sz w:val="20"/>
          <w:szCs w:val="20"/>
        </w:rPr>
        <w:t xml:space="preserve">(2011). Scikit-learn: Machine learning in Python. </w:t>
      </w:r>
      <w:r w:rsidRPr="008071B4">
        <w:rPr>
          <w:rFonts w:ascii="Times New Roman" w:hAnsi="Times New Roman" w:cs="Times New Roman"/>
          <w:i/>
          <w:iCs/>
          <w:sz w:val="20"/>
          <w:szCs w:val="20"/>
        </w:rPr>
        <w:t>Journal of Machine Learning Research</w:t>
      </w:r>
      <w:r w:rsidRPr="008071B4">
        <w:rPr>
          <w:rFonts w:ascii="Times New Roman" w:hAnsi="Times New Roman" w:cs="Times New Roman"/>
          <w:sz w:val="20"/>
          <w:szCs w:val="20"/>
        </w:rPr>
        <w:t xml:space="preserve">, </w:t>
      </w:r>
      <w:r w:rsidRPr="008071B4">
        <w:rPr>
          <w:rFonts w:ascii="Times New Roman" w:hAnsi="Times New Roman" w:cs="Times New Roman"/>
          <w:i/>
          <w:iCs/>
          <w:sz w:val="20"/>
          <w:szCs w:val="20"/>
        </w:rPr>
        <w:t>12</w:t>
      </w:r>
      <w:r w:rsidRPr="008071B4">
        <w:rPr>
          <w:rFonts w:ascii="Times New Roman" w:hAnsi="Times New Roman" w:cs="Times New Roman"/>
          <w:sz w:val="20"/>
          <w:szCs w:val="20"/>
        </w:rPr>
        <w:t>, 2825–2830.</w:t>
      </w:r>
    </w:p>
    <w:p w14:paraId="63E2C1F1" w14:textId="77777777" w:rsidR="00E44290" w:rsidRPr="008071B4" w:rsidRDefault="00E44290" w:rsidP="00E44290">
      <w:pPr>
        <w:rPr>
          <w:rFonts w:ascii="Times New Roman" w:hAnsi="Times New Roman" w:cs="Times New Roman"/>
          <w:sz w:val="20"/>
          <w:szCs w:val="20"/>
        </w:rPr>
      </w:pPr>
      <w:r w:rsidRPr="008071B4">
        <w:rPr>
          <w:rFonts w:ascii="Times New Roman" w:hAnsi="Times New Roman" w:cs="Times New Roman"/>
          <w:sz w:val="20"/>
          <w:szCs w:val="20"/>
        </w:rPr>
        <w:t xml:space="preserve">Van Rossum, G., &amp; Drake, F. L. (2009). </w:t>
      </w:r>
      <w:r w:rsidRPr="008071B4">
        <w:rPr>
          <w:rFonts w:ascii="Times New Roman" w:hAnsi="Times New Roman" w:cs="Times New Roman"/>
          <w:i/>
          <w:iCs/>
          <w:sz w:val="20"/>
          <w:szCs w:val="20"/>
        </w:rPr>
        <w:t>Python 3 reference manual</w:t>
      </w:r>
      <w:r w:rsidRPr="008071B4">
        <w:rPr>
          <w:rFonts w:ascii="Times New Roman" w:hAnsi="Times New Roman" w:cs="Times New Roman"/>
          <w:sz w:val="20"/>
          <w:szCs w:val="20"/>
        </w:rPr>
        <w:t>. CreateSpace.</w:t>
      </w:r>
    </w:p>
    <w:p w14:paraId="49556A20" w14:textId="18389848" w:rsidR="005C7335" w:rsidRPr="008071B4" w:rsidRDefault="008071B4" w:rsidP="00E23D2F">
      <w:pPr>
        <w:rPr>
          <w:rFonts w:ascii="Times New Roman" w:hAnsi="Times New Roman" w:cs="Times New Roman"/>
          <w:sz w:val="20"/>
          <w:szCs w:val="20"/>
        </w:rPr>
      </w:pPr>
      <w:r w:rsidRPr="008071B4">
        <w:rPr>
          <w:rFonts w:ascii="Times New Roman" w:hAnsi="Times New Roman" w:cs="Times New Roman"/>
          <w:sz w:val="20"/>
          <w:szCs w:val="20"/>
        </w:rPr>
        <w:t xml:space="preserve">Virtanen, P., </w:t>
      </w:r>
      <w:proofErr w:type="spellStart"/>
      <w:r w:rsidRPr="008071B4">
        <w:rPr>
          <w:rFonts w:ascii="Times New Roman" w:hAnsi="Times New Roman" w:cs="Times New Roman"/>
          <w:sz w:val="20"/>
          <w:szCs w:val="20"/>
        </w:rPr>
        <w:t>Gommers</w:t>
      </w:r>
      <w:proofErr w:type="spellEnd"/>
      <w:r w:rsidRPr="008071B4">
        <w:rPr>
          <w:rFonts w:ascii="Times New Roman" w:hAnsi="Times New Roman" w:cs="Times New Roman"/>
          <w:sz w:val="20"/>
          <w:szCs w:val="20"/>
        </w:rPr>
        <w:t xml:space="preserve">, R., Oliphant, T. E., et al. (2020). SciPy 1.0: Fundamental algorithms for scientific computing in Python. </w:t>
      </w:r>
      <w:r w:rsidRPr="008071B4">
        <w:rPr>
          <w:rFonts w:ascii="Times New Roman" w:hAnsi="Times New Roman" w:cs="Times New Roman"/>
          <w:i/>
          <w:iCs/>
          <w:sz w:val="20"/>
          <w:szCs w:val="20"/>
        </w:rPr>
        <w:t>Nature Methods</w:t>
      </w:r>
      <w:r w:rsidRPr="008071B4">
        <w:rPr>
          <w:rFonts w:ascii="Times New Roman" w:hAnsi="Times New Roman" w:cs="Times New Roman"/>
          <w:sz w:val="20"/>
          <w:szCs w:val="20"/>
        </w:rPr>
        <w:t xml:space="preserve">, </w:t>
      </w:r>
      <w:r w:rsidRPr="008071B4">
        <w:rPr>
          <w:rFonts w:ascii="Times New Roman" w:hAnsi="Times New Roman" w:cs="Times New Roman"/>
          <w:i/>
          <w:iCs/>
          <w:sz w:val="20"/>
          <w:szCs w:val="20"/>
        </w:rPr>
        <w:t>17</w:t>
      </w:r>
      <w:r w:rsidRPr="008071B4">
        <w:rPr>
          <w:rFonts w:ascii="Times New Roman" w:hAnsi="Times New Roman" w:cs="Times New Roman"/>
          <w:sz w:val="20"/>
          <w:szCs w:val="20"/>
        </w:rPr>
        <w:t xml:space="preserve">, 261–272. </w:t>
      </w:r>
      <w:hyperlink r:id="rId6" w:history="1">
        <w:r w:rsidRPr="008071B4">
          <w:rPr>
            <w:rStyle w:val="Hyperlink"/>
            <w:rFonts w:ascii="Times New Roman" w:hAnsi="Times New Roman" w:cs="Times New Roman"/>
            <w:sz w:val="20"/>
            <w:szCs w:val="20"/>
          </w:rPr>
          <w:t>https://doi.org/10.1038/s41592-019-0686-2</w:t>
        </w:r>
      </w:hyperlink>
    </w:p>
    <w:p w14:paraId="47BDD340" w14:textId="019B922E" w:rsidR="005C7335" w:rsidRPr="008071B4" w:rsidRDefault="005C7335" w:rsidP="005C7335">
      <w:pPr>
        <w:rPr>
          <w:rFonts w:ascii="Times New Roman" w:hAnsi="Times New Roman" w:cs="Times New Roman"/>
          <w:sz w:val="20"/>
          <w:szCs w:val="20"/>
        </w:rPr>
      </w:pPr>
    </w:p>
    <w:p w14:paraId="4618EBC4" w14:textId="25F7FFCE" w:rsidR="005C7335" w:rsidRPr="008071B4" w:rsidRDefault="005C7335" w:rsidP="00E23D2F">
      <w:pPr>
        <w:rPr>
          <w:rFonts w:ascii="Times New Roman" w:hAnsi="Times New Roman" w:cs="Times New Roman"/>
          <w:sz w:val="20"/>
          <w:szCs w:val="20"/>
        </w:rPr>
      </w:pPr>
    </w:p>
    <w:p w14:paraId="7F430FBA" w14:textId="2B1EE83A" w:rsidR="005C7335" w:rsidRPr="008071B4" w:rsidRDefault="005C7335" w:rsidP="00E23D2F">
      <w:pPr>
        <w:rPr>
          <w:rFonts w:ascii="Times New Roman" w:hAnsi="Times New Roman" w:cs="Times New Roman"/>
          <w:sz w:val="20"/>
          <w:szCs w:val="20"/>
        </w:rPr>
      </w:pPr>
    </w:p>
    <w:p w14:paraId="0D78330A" w14:textId="4E36B076" w:rsidR="005C7335" w:rsidRPr="008071B4" w:rsidRDefault="008071B4" w:rsidP="00E23D2F">
      <w:pPr>
        <w:rPr>
          <w:rFonts w:ascii="Times New Roman" w:hAnsi="Times New Roman" w:cs="Times New Roman"/>
          <w:sz w:val="20"/>
          <w:szCs w:val="20"/>
        </w:rPr>
      </w:pPr>
      <w:r w:rsidRPr="008071B4">
        <w:rPr>
          <w:rFonts w:ascii="Times New Roman" w:hAnsi="Times New Roman" w:cs="Times New Roman"/>
          <w:noProof/>
          <w:sz w:val="20"/>
          <w:szCs w:val="20"/>
        </w:rPr>
        <w:drawing>
          <wp:anchor distT="0" distB="0" distL="114300" distR="114300" simplePos="0" relativeHeight="251658240" behindDoc="0" locked="0" layoutInCell="1" allowOverlap="1" wp14:anchorId="53ED0AA2" wp14:editId="6D3F8261">
            <wp:simplePos x="0" y="0"/>
            <wp:positionH relativeFrom="column">
              <wp:posOffset>1852295</wp:posOffset>
            </wp:positionH>
            <wp:positionV relativeFrom="paragraph">
              <wp:posOffset>103505</wp:posOffset>
            </wp:positionV>
            <wp:extent cx="1851025" cy="1966595"/>
            <wp:effectExtent l="0" t="0" r="0" b="0"/>
            <wp:wrapSquare wrapText="bothSides"/>
            <wp:docPr id="11086545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51025" cy="1966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2EE8B9" w14:textId="77777777" w:rsidR="005C7335" w:rsidRPr="008071B4" w:rsidRDefault="005C7335" w:rsidP="00E23D2F">
      <w:pPr>
        <w:rPr>
          <w:rFonts w:ascii="Times New Roman" w:hAnsi="Times New Roman" w:cs="Times New Roman"/>
          <w:sz w:val="20"/>
          <w:szCs w:val="20"/>
        </w:rPr>
      </w:pPr>
    </w:p>
    <w:p w14:paraId="3F97008B" w14:textId="77777777" w:rsidR="005C7335" w:rsidRPr="008071B4" w:rsidRDefault="005C7335" w:rsidP="00E23D2F">
      <w:pPr>
        <w:rPr>
          <w:rFonts w:ascii="Times New Roman" w:hAnsi="Times New Roman" w:cs="Times New Roman"/>
          <w:sz w:val="20"/>
          <w:szCs w:val="20"/>
        </w:rPr>
      </w:pPr>
    </w:p>
    <w:p w14:paraId="5EECA896" w14:textId="77777777" w:rsidR="005C7335" w:rsidRPr="008071B4" w:rsidRDefault="005C7335" w:rsidP="00E23D2F">
      <w:pPr>
        <w:rPr>
          <w:rFonts w:ascii="Times New Roman" w:hAnsi="Times New Roman" w:cs="Times New Roman"/>
          <w:sz w:val="20"/>
          <w:szCs w:val="20"/>
        </w:rPr>
      </w:pPr>
    </w:p>
    <w:p w14:paraId="523DDCA4" w14:textId="77777777" w:rsidR="006E229D" w:rsidRPr="008071B4" w:rsidRDefault="006E229D" w:rsidP="00E23D2F">
      <w:pPr>
        <w:rPr>
          <w:rFonts w:ascii="Times New Roman" w:hAnsi="Times New Roman" w:cs="Times New Roman"/>
          <w:sz w:val="20"/>
          <w:szCs w:val="20"/>
        </w:rPr>
      </w:pPr>
      <w:r w:rsidRPr="008071B4">
        <w:rPr>
          <w:rFonts w:ascii="Times New Roman" w:hAnsi="Times New Roman" w:cs="Times New Roman"/>
          <w:sz w:val="20"/>
          <w:szCs w:val="20"/>
        </w:rPr>
        <w:t xml:space="preserve">Figure X. Three-dimensional principal component analysis (3D-PCA) of the complete metabolome of </w:t>
      </w:r>
      <w:r w:rsidRPr="008071B4">
        <w:rPr>
          <w:rFonts w:ascii="Times New Roman" w:hAnsi="Times New Roman" w:cs="Times New Roman"/>
          <w:i/>
          <w:iCs/>
          <w:sz w:val="20"/>
          <w:szCs w:val="20"/>
        </w:rPr>
        <w:t>Oeosporangium elegans</w:t>
      </w:r>
      <w:r w:rsidRPr="008071B4">
        <w:rPr>
          <w:rFonts w:ascii="Times New Roman" w:hAnsi="Times New Roman" w:cs="Times New Roman"/>
          <w:sz w:val="20"/>
          <w:szCs w:val="20"/>
        </w:rPr>
        <w:t>.</w:t>
      </w:r>
    </w:p>
    <w:p w14:paraId="672C17B0" w14:textId="77777777" w:rsidR="006E229D" w:rsidRPr="008071B4" w:rsidRDefault="006E229D" w:rsidP="00E23D2F">
      <w:pPr>
        <w:rPr>
          <w:rFonts w:ascii="Times New Roman" w:hAnsi="Times New Roman" w:cs="Times New Roman"/>
          <w:sz w:val="20"/>
          <w:szCs w:val="20"/>
        </w:rPr>
      </w:pPr>
    </w:p>
    <w:p w14:paraId="4D8F76EE" w14:textId="2A4654B3" w:rsidR="005C7335" w:rsidRPr="008071B4" w:rsidRDefault="006E229D" w:rsidP="00E23D2F">
      <w:pPr>
        <w:rPr>
          <w:rFonts w:ascii="Times New Roman" w:hAnsi="Times New Roman" w:cs="Times New Roman"/>
          <w:sz w:val="20"/>
          <w:szCs w:val="20"/>
        </w:rPr>
      </w:pPr>
      <w:r w:rsidRPr="008071B4">
        <w:rPr>
          <w:rFonts w:ascii="Times New Roman" w:hAnsi="Times New Roman" w:cs="Times New Roman"/>
          <w:sz w:val="20"/>
          <w:szCs w:val="20"/>
        </w:rPr>
        <w:t>T</w:t>
      </w:r>
      <w:r w:rsidR="005C7335" w:rsidRPr="008071B4">
        <w:rPr>
          <w:rFonts w:ascii="Times New Roman" w:hAnsi="Times New Roman" w:cs="Times New Roman"/>
          <w:sz w:val="20"/>
          <w:szCs w:val="20"/>
        </w:rPr>
        <w:t xml:space="preserve">hree-dimensional principal component analysis (3D-PCA) of the complete metabolome (797 metabolites) revealed clear separation of hydrated-specific (n = 267), desiccated-specific (n = 298), and shared metabolites (n = 232). The first three principal components explained </w:t>
      </w:r>
      <w:r w:rsidR="005C7335" w:rsidRPr="008071B4">
        <w:rPr>
          <w:rFonts w:ascii="Times New Roman" w:hAnsi="Times New Roman" w:cs="Times New Roman"/>
          <w:b/>
          <w:bCs/>
          <w:sz w:val="20"/>
          <w:szCs w:val="20"/>
        </w:rPr>
        <w:t>97.8%</w:t>
      </w:r>
      <w:r w:rsidR="005C7335" w:rsidRPr="008071B4">
        <w:rPr>
          <w:rFonts w:ascii="Times New Roman" w:hAnsi="Times New Roman" w:cs="Times New Roman"/>
          <w:sz w:val="20"/>
          <w:szCs w:val="20"/>
        </w:rPr>
        <w:t xml:space="preserve"> of the total variance, with </w:t>
      </w:r>
      <w:r w:rsidR="005C7335" w:rsidRPr="008071B4">
        <w:rPr>
          <w:rFonts w:ascii="Times New Roman" w:hAnsi="Times New Roman" w:cs="Times New Roman"/>
          <w:b/>
          <w:bCs/>
          <w:sz w:val="20"/>
          <w:szCs w:val="20"/>
        </w:rPr>
        <w:t>PC1 (72.1%)</w:t>
      </w:r>
      <w:r w:rsidR="005C7335" w:rsidRPr="008071B4">
        <w:rPr>
          <w:rFonts w:ascii="Times New Roman" w:hAnsi="Times New Roman" w:cs="Times New Roman"/>
          <w:sz w:val="20"/>
          <w:szCs w:val="20"/>
        </w:rPr>
        <w:t xml:space="preserve"> and </w:t>
      </w:r>
      <w:r w:rsidR="005C7335" w:rsidRPr="008071B4">
        <w:rPr>
          <w:rFonts w:ascii="Times New Roman" w:hAnsi="Times New Roman" w:cs="Times New Roman"/>
          <w:b/>
          <w:bCs/>
          <w:sz w:val="20"/>
          <w:szCs w:val="20"/>
        </w:rPr>
        <w:t>PC2 (24.5%)</w:t>
      </w:r>
      <w:r w:rsidR="005C7335" w:rsidRPr="008071B4">
        <w:rPr>
          <w:rFonts w:ascii="Times New Roman" w:hAnsi="Times New Roman" w:cs="Times New Roman"/>
          <w:sz w:val="20"/>
          <w:szCs w:val="20"/>
        </w:rPr>
        <w:t xml:space="preserve"> accounting for most of the metabolic variation. Hydrated-specific metabolites formed a distinct cluster separated primarily along PC1, whereas desiccated-specific and shared metabolites occupied independent regions with minimal overlap. The additional separation of desiccated-specific metabolites from the shared metabolite pool along PC2 indicates further metabolic differentiation associated with desiccation. The compact clustering within each group suggests consistent metabolite profiles, while the few outlying metabolites likely represent compounds with distinct abundance patterns. Similar metabolic restructuring has been reported in desiccation-tolerant plants, where dehydration induces marked changes in metabolite composition rather than uniform shifts in metabolite abundance. Although PCA does not identify the metabolites responsible for the observed separation, the strong discrimination among the three metabolite groups demonstrates extensive metabolic reorganization during desiccation in </w:t>
      </w:r>
      <w:r w:rsidR="005C7335" w:rsidRPr="008071B4">
        <w:rPr>
          <w:rFonts w:ascii="Times New Roman" w:hAnsi="Times New Roman" w:cs="Times New Roman"/>
          <w:i/>
          <w:iCs/>
          <w:sz w:val="20"/>
          <w:szCs w:val="20"/>
        </w:rPr>
        <w:t>Oeosporangium elegans</w:t>
      </w:r>
      <w:r w:rsidR="005C7335" w:rsidRPr="008071B4">
        <w:rPr>
          <w:rFonts w:ascii="Times New Roman" w:hAnsi="Times New Roman" w:cs="Times New Roman"/>
          <w:sz w:val="20"/>
          <w:szCs w:val="20"/>
        </w:rPr>
        <w:t>, supporting subsequent metabolite annotation and pathway enrichment analyses.</w:t>
      </w:r>
    </w:p>
    <w:p w14:paraId="7B5FD61D" w14:textId="77777777" w:rsidR="005C7335" w:rsidRPr="008071B4" w:rsidRDefault="005C7335" w:rsidP="00E23D2F">
      <w:pPr>
        <w:rPr>
          <w:rFonts w:ascii="Times New Roman" w:hAnsi="Times New Roman" w:cs="Times New Roman"/>
          <w:sz w:val="20"/>
          <w:szCs w:val="20"/>
        </w:rPr>
      </w:pPr>
    </w:p>
    <w:p w14:paraId="13C6E711" w14:textId="77777777" w:rsidR="006E229D" w:rsidRPr="008071B4" w:rsidRDefault="006E229D" w:rsidP="00E23D2F">
      <w:pPr>
        <w:rPr>
          <w:rFonts w:ascii="Times New Roman" w:hAnsi="Times New Roman" w:cs="Times New Roman"/>
          <w:sz w:val="20"/>
          <w:szCs w:val="20"/>
        </w:rPr>
      </w:pPr>
    </w:p>
    <w:p w14:paraId="6E9A397D" w14:textId="77777777" w:rsidR="006E229D" w:rsidRPr="008071B4" w:rsidRDefault="006E229D" w:rsidP="00E23D2F">
      <w:pPr>
        <w:rPr>
          <w:rFonts w:ascii="Times New Roman" w:hAnsi="Times New Roman" w:cs="Times New Roman"/>
          <w:sz w:val="20"/>
          <w:szCs w:val="20"/>
        </w:rPr>
      </w:pPr>
    </w:p>
    <w:p w14:paraId="63E41C70" w14:textId="77777777" w:rsidR="006E229D" w:rsidRPr="008071B4" w:rsidRDefault="006E229D" w:rsidP="00E23D2F">
      <w:pPr>
        <w:rPr>
          <w:rFonts w:ascii="Times New Roman" w:hAnsi="Times New Roman" w:cs="Times New Roman"/>
          <w:sz w:val="20"/>
          <w:szCs w:val="20"/>
        </w:rPr>
      </w:pPr>
    </w:p>
    <w:p w14:paraId="1893E1BD" w14:textId="77777777" w:rsidR="006E229D" w:rsidRPr="008071B4" w:rsidRDefault="006E229D" w:rsidP="00E23D2F">
      <w:pPr>
        <w:rPr>
          <w:rFonts w:ascii="Times New Roman" w:hAnsi="Times New Roman" w:cs="Times New Roman"/>
          <w:sz w:val="20"/>
          <w:szCs w:val="20"/>
        </w:rPr>
      </w:pPr>
    </w:p>
    <w:p w14:paraId="6B829FF1" w14:textId="7514E2F2" w:rsidR="006E229D" w:rsidRPr="008071B4" w:rsidRDefault="006E229D" w:rsidP="00E23D2F">
      <w:pPr>
        <w:rPr>
          <w:rFonts w:ascii="Times New Roman" w:hAnsi="Times New Roman" w:cs="Times New Roman"/>
          <w:sz w:val="20"/>
          <w:szCs w:val="20"/>
        </w:rPr>
      </w:pPr>
      <w:r w:rsidRPr="008071B4">
        <w:rPr>
          <w:rFonts w:ascii="Times New Roman" w:hAnsi="Times New Roman" w:cs="Times New Roman"/>
          <w:noProof/>
          <w:sz w:val="20"/>
          <w:szCs w:val="20"/>
        </w:rPr>
        <w:lastRenderedPageBreak/>
        <w:drawing>
          <wp:anchor distT="0" distB="0" distL="114300" distR="114300" simplePos="0" relativeHeight="251662336" behindDoc="0" locked="0" layoutInCell="1" allowOverlap="1" wp14:anchorId="4A5D8315" wp14:editId="5A05F37C">
            <wp:simplePos x="0" y="0"/>
            <wp:positionH relativeFrom="margin">
              <wp:posOffset>2880360</wp:posOffset>
            </wp:positionH>
            <wp:positionV relativeFrom="paragraph">
              <wp:posOffset>635</wp:posOffset>
            </wp:positionV>
            <wp:extent cx="2701925" cy="2124075"/>
            <wp:effectExtent l="0" t="0" r="3175" b="9525"/>
            <wp:wrapTight wrapText="bothSides">
              <wp:wrapPolygon edited="0">
                <wp:start x="0" y="0"/>
                <wp:lineTo x="0" y="21503"/>
                <wp:lineTo x="21473" y="21503"/>
                <wp:lineTo x="21473" y="0"/>
                <wp:lineTo x="0" y="0"/>
              </wp:wrapPolygon>
            </wp:wrapTight>
            <wp:docPr id="588577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77619" name=""/>
                    <pic:cNvPicPr/>
                  </pic:nvPicPr>
                  <pic:blipFill rotWithShape="1">
                    <a:blip r:embed="rId8"/>
                    <a:srcRect b="1791"/>
                    <a:stretch>
                      <a:fillRect/>
                    </a:stretch>
                  </pic:blipFill>
                  <pic:spPr bwMode="auto">
                    <a:xfrm>
                      <a:off x="0" y="0"/>
                      <a:ext cx="2701925" cy="2124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71B4">
        <w:rPr>
          <w:rFonts w:ascii="Times New Roman" w:hAnsi="Times New Roman" w:cs="Times New Roman"/>
          <w:noProof/>
          <w:sz w:val="20"/>
          <w:szCs w:val="20"/>
        </w:rPr>
        <w:drawing>
          <wp:anchor distT="0" distB="0" distL="114300" distR="114300" simplePos="0" relativeHeight="251660288" behindDoc="0" locked="0" layoutInCell="1" allowOverlap="1" wp14:anchorId="3CA57088" wp14:editId="39C67CED">
            <wp:simplePos x="0" y="0"/>
            <wp:positionH relativeFrom="margin">
              <wp:posOffset>-138112</wp:posOffset>
            </wp:positionH>
            <wp:positionV relativeFrom="paragraph">
              <wp:posOffset>0</wp:posOffset>
            </wp:positionV>
            <wp:extent cx="2829560" cy="2219325"/>
            <wp:effectExtent l="0" t="0" r="8890" b="0"/>
            <wp:wrapTight wrapText="bothSides">
              <wp:wrapPolygon edited="0">
                <wp:start x="0" y="0"/>
                <wp:lineTo x="0" y="21322"/>
                <wp:lineTo x="21522" y="21322"/>
                <wp:lineTo x="21522" y="0"/>
                <wp:lineTo x="0" y="0"/>
              </wp:wrapPolygon>
            </wp:wrapTight>
            <wp:docPr id="1172546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46362" name=""/>
                    <pic:cNvPicPr/>
                  </pic:nvPicPr>
                  <pic:blipFill>
                    <a:blip r:embed="rId9"/>
                    <a:stretch>
                      <a:fillRect/>
                    </a:stretch>
                  </pic:blipFill>
                  <pic:spPr>
                    <a:xfrm>
                      <a:off x="0" y="0"/>
                      <a:ext cx="2829560" cy="2219325"/>
                    </a:xfrm>
                    <a:prstGeom prst="rect">
                      <a:avLst/>
                    </a:prstGeom>
                  </pic:spPr>
                </pic:pic>
              </a:graphicData>
            </a:graphic>
            <wp14:sizeRelH relativeFrom="margin">
              <wp14:pctWidth>0</wp14:pctWidth>
            </wp14:sizeRelH>
            <wp14:sizeRelV relativeFrom="margin">
              <wp14:pctHeight>0</wp14:pctHeight>
            </wp14:sizeRelV>
          </wp:anchor>
        </w:drawing>
      </w:r>
    </w:p>
    <w:p w14:paraId="6EE09873" w14:textId="77777777" w:rsidR="006E229D" w:rsidRPr="008071B4" w:rsidRDefault="006E229D" w:rsidP="00E23D2F">
      <w:pPr>
        <w:rPr>
          <w:rFonts w:ascii="Times New Roman" w:hAnsi="Times New Roman" w:cs="Times New Roman"/>
          <w:sz w:val="20"/>
          <w:szCs w:val="20"/>
        </w:rPr>
      </w:pPr>
      <w:r w:rsidRPr="008071B4">
        <w:rPr>
          <w:rFonts w:ascii="Times New Roman" w:hAnsi="Times New Roman" w:cs="Times New Roman"/>
          <w:b/>
          <w:bCs/>
          <w:sz w:val="20"/>
          <w:szCs w:val="20"/>
        </w:rPr>
        <w:t>Figure X. Distribution analysis of desiccation-associated metabolites.</w:t>
      </w:r>
      <w:r w:rsidRPr="008071B4">
        <w:rPr>
          <w:rFonts w:ascii="Times New Roman" w:hAnsi="Times New Roman" w:cs="Times New Roman"/>
          <w:sz w:val="20"/>
          <w:szCs w:val="20"/>
        </w:rPr>
        <w:br/>
      </w:r>
      <w:r w:rsidRPr="008071B4">
        <w:rPr>
          <w:rFonts w:ascii="Times New Roman" w:hAnsi="Times New Roman" w:cs="Times New Roman"/>
          <w:b/>
          <w:bCs/>
          <w:sz w:val="20"/>
          <w:szCs w:val="20"/>
        </w:rPr>
        <w:t>(A)</w:t>
      </w:r>
      <w:r w:rsidRPr="008071B4">
        <w:rPr>
          <w:rFonts w:ascii="Times New Roman" w:hAnsi="Times New Roman" w:cs="Times New Roman"/>
          <w:sz w:val="20"/>
          <w:szCs w:val="20"/>
        </w:rPr>
        <w:t xml:space="preserve"> Kernel density scatter plot of 530 desiccation-associated metabolites projected onto PC1 (37.0%) and PC2 (33.7%). </w:t>
      </w:r>
      <w:r w:rsidRPr="008071B4">
        <w:rPr>
          <w:rFonts w:ascii="Times New Roman" w:hAnsi="Times New Roman" w:cs="Times New Roman"/>
          <w:b/>
          <w:bCs/>
          <w:sz w:val="20"/>
          <w:szCs w:val="20"/>
        </w:rPr>
        <w:t>(B)</w:t>
      </w:r>
      <w:r w:rsidRPr="008071B4">
        <w:rPr>
          <w:rFonts w:ascii="Times New Roman" w:hAnsi="Times New Roman" w:cs="Times New Roman"/>
          <w:sz w:val="20"/>
          <w:szCs w:val="20"/>
        </w:rPr>
        <w:t xml:space="preserve"> Hexagonal density map showing metabolite frequency within the same PCA space, with colour intensity indicating increasing metabolite density.</w:t>
      </w:r>
    </w:p>
    <w:p w14:paraId="35338BDA" w14:textId="77777777" w:rsidR="006E229D" w:rsidRPr="008071B4" w:rsidRDefault="006E229D" w:rsidP="00E23D2F">
      <w:pPr>
        <w:rPr>
          <w:rFonts w:ascii="Times New Roman" w:hAnsi="Times New Roman" w:cs="Times New Roman"/>
          <w:sz w:val="20"/>
          <w:szCs w:val="20"/>
        </w:rPr>
      </w:pPr>
    </w:p>
    <w:p w14:paraId="3BCED113" w14:textId="11BEAB96" w:rsidR="006E229D" w:rsidRPr="008071B4" w:rsidRDefault="006E229D" w:rsidP="00E23D2F">
      <w:pPr>
        <w:rPr>
          <w:rFonts w:ascii="Times New Roman" w:hAnsi="Times New Roman" w:cs="Times New Roman"/>
          <w:sz w:val="20"/>
          <w:szCs w:val="20"/>
        </w:rPr>
      </w:pPr>
      <w:r w:rsidRPr="008071B4">
        <w:rPr>
          <w:rFonts w:ascii="Times New Roman" w:hAnsi="Times New Roman" w:cs="Times New Roman"/>
          <w:sz w:val="20"/>
          <w:szCs w:val="20"/>
        </w:rPr>
        <w:t xml:space="preserve">Distribution analysis of the </w:t>
      </w:r>
      <w:r w:rsidRPr="008071B4">
        <w:rPr>
          <w:rFonts w:ascii="Times New Roman" w:hAnsi="Times New Roman" w:cs="Times New Roman"/>
          <w:b/>
          <w:bCs/>
          <w:sz w:val="20"/>
          <w:szCs w:val="20"/>
        </w:rPr>
        <w:t>530 desiccation-associated metabolites</w:t>
      </w:r>
      <w:r w:rsidRPr="008071B4">
        <w:rPr>
          <w:rFonts w:ascii="Times New Roman" w:hAnsi="Times New Roman" w:cs="Times New Roman"/>
          <w:sz w:val="20"/>
          <w:szCs w:val="20"/>
        </w:rPr>
        <w:t xml:space="preserve"> showed that most metabolites formed a compact, high-density cluster within the PC1–PC2 space, with only a few metabolites occurring as dispersed outliers. The kernel density and hexagonal density plots consistently identified a central region containing the greatest metabolite concentration, indicating that the </w:t>
      </w:r>
      <w:proofErr w:type="spellStart"/>
      <w:r w:rsidRPr="008071B4">
        <w:rPr>
          <w:rFonts w:ascii="Times New Roman" w:hAnsi="Times New Roman" w:cs="Times New Roman"/>
          <w:sz w:val="20"/>
          <w:szCs w:val="20"/>
        </w:rPr>
        <w:t>desiccate</w:t>
      </w:r>
      <w:r w:rsidR="00B43316" w:rsidRPr="008071B4">
        <w:rPr>
          <w:rFonts w:ascii="Times New Roman" w:hAnsi="Times New Roman" w:cs="Times New Roman"/>
          <w:sz w:val="20"/>
          <w:szCs w:val="20"/>
        </w:rPr>
        <w:t>ccc</w:t>
      </w:r>
      <w:r w:rsidRPr="008071B4">
        <w:rPr>
          <w:rFonts w:ascii="Times New Roman" w:hAnsi="Times New Roman" w:cs="Times New Roman"/>
          <w:sz w:val="20"/>
          <w:szCs w:val="20"/>
        </w:rPr>
        <w:t>d</w:t>
      </w:r>
      <w:proofErr w:type="spellEnd"/>
      <w:r w:rsidRPr="008071B4">
        <w:rPr>
          <w:rFonts w:ascii="Times New Roman" w:hAnsi="Times New Roman" w:cs="Times New Roman"/>
          <w:sz w:val="20"/>
          <w:szCs w:val="20"/>
        </w:rPr>
        <w:t xml:space="preserve"> metabolome is characterized by a dominant group of metabolites with similar multivariate patterns. The relatively small number of peripheral metabolites suggests the presence of metabolites with distinct abundance profiles during desiccation. This structured distribution supports coordinated metabolic reorganization under dehydration and complements the PCA results by demonstrating that the desiccation-associated metabolome is organized around a well-defined metabolic core rather than exhibiting random variability.</w:t>
      </w:r>
    </w:p>
    <w:p w14:paraId="4A114172" w14:textId="11834C5A" w:rsidR="005C7335" w:rsidRPr="008071B4" w:rsidRDefault="005C7335" w:rsidP="00E23D2F">
      <w:pPr>
        <w:rPr>
          <w:rFonts w:ascii="Times New Roman" w:hAnsi="Times New Roman" w:cs="Times New Roman"/>
          <w:sz w:val="20"/>
          <w:szCs w:val="20"/>
        </w:rPr>
      </w:pPr>
    </w:p>
    <w:p w14:paraId="06D1D5EB" w14:textId="77777777" w:rsidR="006E229D" w:rsidRPr="008071B4" w:rsidRDefault="006E229D" w:rsidP="00E23D2F">
      <w:pPr>
        <w:rPr>
          <w:rFonts w:ascii="Times New Roman" w:hAnsi="Times New Roman" w:cs="Times New Roman"/>
          <w:sz w:val="20"/>
          <w:szCs w:val="20"/>
        </w:rPr>
      </w:pPr>
    </w:p>
    <w:p w14:paraId="4AB6D9F5" w14:textId="77777777" w:rsidR="006E229D" w:rsidRPr="008071B4" w:rsidRDefault="006E229D" w:rsidP="00E23D2F">
      <w:pPr>
        <w:rPr>
          <w:rFonts w:ascii="Times New Roman" w:hAnsi="Times New Roman" w:cs="Times New Roman"/>
          <w:sz w:val="20"/>
          <w:szCs w:val="20"/>
        </w:rPr>
      </w:pPr>
    </w:p>
    <w:p w14:paraId="66F1FA07" w14:textId="77777777" w:rsidR="006E229D" w:rsidRPr="008071B4" w:rsidRDefault="006E229D" w:rsidP="00E23D2F">
      <w:pPr>
        <w:rPr>
          <w:rFonts w:ascii="Times New Roman" w:hAnsi="Times New Roman" w:cs="Times New Roman"/>
          <w:sz w:val="20"/>
          <w:szCs w:val="20"/>
        </w:rPr>
      </w:pPr>
    </w:p>
    <w:p w14:paraId="7F5133F8" w14:textId="77777777" w:rsidR="006E229D" w:rsidRPr="008071B4" w:rsidRDefault="006E229D" w:rsidP="00E23D2F">
      <w:pPr>
        <w:rPr>
          <w:rFonts w:ascii="Times New Roman" w:hAnsi="Times New Roman" w:cs="Times New Roman"/>
          <w:sz w:val="20"/>
          <w:szCs w:val="20"/>
        </w:rPr>
      </w:pPr>
    </w:p>
    <w:p w14:paraId="62941DC5" w14:textId="77777777" w:rsidR="006E229D" w:rsidRPr="008071B4" w:rsidRDefault="006E229D" w:rsidP="00E23D2F">
      <w:pPr>
        <w:rPr>
          <w:rFonts w:ascii="Times New Roman" w:hAnsi="Times New Roman" w:cs="Times New Roman"/>
          <w:sz w:val="20"/>
          <w:szCs w:val="20"/>
        </w:rPr>
      </w:pPr>
    </w:p>
    <w:p w14:paraId="0290DF19" w14:textId="77777777" w:rsidR="006E229D" w:rsidRPr="008071B4" w:rsidRDefault="006E229D" w:rsidP="00E23D2F">
      <w:pPr>
        <w:rPr>
          <w:rFonts w:ascii="Times New Roman" w:hAnsi="Times New Roman" w:cs="Times New Roman"/>
          <w:sz w:val="20"/>
          <w:szCs w:val="20"/>
        </w:rPr>
      </w:pPr>
    </w:p>
    <w:p w14:paraId="66D45791" w14:textId="1962E8FD" w:rsidR="006E229D" w:rsidRPr="008071B4" w:rsidRDefault="006E229D" w:rsidP="00E23D2F">
      <w:pPr>
        <w:rPr>
          <w:rFonts w:ascii="Times New Roman" w:hAnsi="Times New Roman" w:cs="Times New Roman"/>
          <w:sz w:val="20"/>
          <w:szCs w:val="20"/>
        </w:rPr>
      </w:pPr>
      <w:r w:rsidRPr="008071B4">
        <w:rPr>
          <w:rFonts w:ascii="Times New Roman" w:hAnsi="Times New Roman" w:cs="Times New Roman"/>
          <w:noProof/>
          <w:sz w:val="20"/>
          <w:szCs w:val="20"/>
        </w:rPr>
        <w:lastRenderedPageBreak/>
        <w:drawing>
          <wp:anchor distT="0" distB="0" distL="114300" distR="114300" simplePos="0" relativeHeight="251666432" behindDoc="0" locked="0" layoutInCell="1" allowOverlap="1" wp14:anchorId="442F6269" wp14:editId="710CF6BF">
            <wp:simplePos x="0" y="0"/>
            <wp:positionH relativeFrom="margin">
              <wp:posOffset>3423920</wp:posOffset>
            </wp:positionH>
            <wp:positionV relativeFrom="paragraph">
              <wp:posOffset>23495</wp:posOffset>
            </wp:positionV>
            <wp:extent cx="2934970" cy="2337435"/>
            <wp:effectExtent l="0" t="0" r="0" b="5715"/>
            <wp:wrapTight wrapText="bothSides">
              <wp:wrapPolygon edited="0">
                <wp:start x="0" y="0"/>
                <wp:lineTo x="0" y="21477"/>
                <wp:lineTo x="21450" y="21477"/>
                <wp:lineTo x="21450" y="0"/>
                <wp:lineTo x="0" y="0"/>
              </wp:wrapPolygon>
            </wp:wrapTight>
            <wp:docPr id="170957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57150" name=""/>
                    <pic:cNvPicPr/>
                  </pic:nvPicPr>
                  <pic:blipFill rotWithShape="1">
                    <a:blip r:embed="rId10"/>
                    <a:srcRect t="2343"/>
                    <a:stretch>
                      <a:fillRect/>
                    </a:stretch>
                  </pic:blipFill>
                  <pic:spPr bwMode="auto">
                    <a:xfrm>
                      <a:off x="0" y="0"/>
                      <a:ext cx="2934970" cy="2337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071B4">
        <w:rPr>
          <w:rFonts w:ascii="Times New Roman" w:hAnsi="Times New Roman" w:cs="Times New Roman"/>
          <w:noProof/>
          <w:sz w:val="20"/>
          <w:szCs w:val="20"/>
        </w:rPr>
        <w:drawing>
          <wp:anchor distT="0" distB="0" distL="114300" distR="114300" simplePos="0" relativeHeight="251664384" behindDoc="0" locked="0" layoutInCell="1" allowOverlap="1" wp14:anchorId="7AD5D13E" wp14:editId="149C8669">
            <wp:simplePos x="0" y="0"/>
            <wp:positionH relativeFrom="margin">
              <wp:posOffset>46990</wp:posOffset>
            </wp:positionH>
            <wp:positionV relativeFrom="paragraph">
              <wp:posOffset>317</wp:posOffset>
            </wp:positionV>
            <wp:extent cx="3096260" cy="2440305"/>
            <wp:effectExtent l="0" t="0" r="8890" b="0"/>
            <wp:wrapTight wrapText="bothSides">
              <wp:wrapPolygon edited="0">
                <wp:start x="0" y="0"/>
                <wp:lineTo x="0" y="21415"/>
                <wp:lineTo x="21529" y="21415"/>
                <wp:lineTo x="21529" y="0"/>
                <wp:lineTo x="0" y="0"/>
              </wp:wrapPolygon>
            </wp:wrapTight>
            <wp:docPr id="57952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1265" name=""/>
                    <pic:cNvPicPr/>
                  </pic:nvPicPr>
                  <pic:blipFill>
                    <a:blip r:embed="rId11"/>
                    <a:stretch>
                      <a:fillRect/>
                    </a:stretch>
                  </pic:blipFill>
                  <pic:spPr>
                    <a:xfrm>
                      <a:off x="0" y="0"/>
                      <a:ext cx="3096260" cy="2440305"/>
                    </a:xfrm>
                    <a:prstGeom prst="rect">
                      <a:avLst/>
                    </a:prstGeom>
                  </pic:spPr>
                </pic:pic>
              </a:graphicData>
            </a:graphic>
            <wp14:sizeRelH relativeFrom="margin">
              <wp14:pctWidth>0</wp14:pctWidth>
            </wp14:sizeRelH>
            <wp14:sizeRelV relativeFrom="margin">
              <wp14:pctHeight>0</wp14:pctHeight>
            </wp14:sizeRelV>
          </wp:anchor>
        </w:drawing>
      </w:r>
    </w:p>
    <w:p w14:paraId="37B4FFCB" w14:textId="77777777" w:rsidR="006E229D" w:rsidRPr="008071B4" w:rsidRDefault="006E229D" w:rsidP="006E229D">
      <w:pPr>
        <w:rPr>
          <w:rFonts w:ascii="Times New Roman" w:hAnsi="Times New Roman" w:cs="Times New Roman"/>
          <w:sz w:val="20"/>
          <w:szCs w:val="20"/>
        </w:rPr>
      </w:pPr>
    </w:p>
    <w:p w14:paraId="2D907AA0" w14:textId="77777777" w:rsidR="006E229D" w:rsidRPr="008071B4" w:rsidRDefault="006E229D" w:rsidP="006E229D">
      <w:pPr>
        <w:rPr>
          <w:rFonts w:ascii="Times New Roman" w:hAnsi="Times New Roman" w:cs="Times New Roman"/>
          <w:sz w:val="20"/>
          <w:szCs w:val="20"/>
        </w:rPr>
      </w:pPr>
      <w:r w:rsidRPr="008071B4">
        <w:rPr>
          <w:rFonts w:ascii="Times New Roman" w:hAnsi="Times New Roman" w:cs="Times New Roman"/>
          <w:b/>
          <w:bCs/>
          <w:sz w:val="20"/>
          <w:szCs w:val="20"/>
        </w:rPr>
        <w:t>Figure X.</w:t>
      </w:r>
      <w:r w:rsidRPr="008071B4">
        <w:rPr>
          <w:rFonts w:ascii="Times New Roman" w:hAnsi="Times New Roman" w:cs="Times New Roman"/>
          <w:sz w:val="20"/>
          <w:szCs w:val="20"/>
        </w:rPr>
        <w:t xml:space="preserve"> Distribution of </w:t>
      </w:r>
      <w:r w:rsidRPr="008071B4">
        <w:rPr>
          <w:rFonts w:ascii="Times New Roman" w:hAnsi="Times New Roman" w:cs="Times New Roman"/>
          <w:b/>
          <w:bCs/>
          <w:sz w:val="20"/>
          <w:szCs w:val="20"/>
        </w:rPr>
        <w:t>530 hydrated-associated metabolites</w:t>
      </w:r>
      <w:r w:rsidRPr="008071B4">
        <w:rPr>
          <w:rFonts w:ascii="Times New Roman" w:hAnsi="Times New Roman" w:cs="Times New Roman"/>
          <w:sz w:val="20"/>
          <w:szCs w:val="20"/>
        </w:rPr>
        <w:t xml:space="preserve">. </w:t>
      </w:r>
      <w:r w:rsidRPr="008071B4">
        <w:rPr>
          <w:rFonts w:ascii="Times New Roman" w:hAnsi="Times New Roman" w:cs="Times New Roman"/>
          <w:b/>
          <w:bCs/>
          <w:sz w:val="20"/>
          <w:szCs w:val="20"/>
        </w:rPr>
        <w:t>(A)</w:t>
      </w:r>
      <w:r w:rsidRPr="008071B4">
        <w:rPr>
          <w:rFonts w:ascii="Times New Roman" w:hAnsi="Times New Roman" w:cs="Times New Roman"/>
          <w:sz w:val="20"/>
          <w:szCs w:val="20"/>
        </w:rPr>
        <w:t xml:space="preserve"> Kernel density scatter plot of metabolites projected onto PC1 (40.8%) and PC2 (31.6%). </w:t>
      </w:r>
      <w:r w:rsidRPr="008071B4">
        <w:rPr>
          <w:rFonts w:ascii="Times New Roman" w:hAnsi="Times New Roman" w:cs="Times New Roman"/>
          <w:b/>
          <w:bCs/>
          <w:sz w:val="20"/>
          <w:szCs w:val="20"/>
        </w:rPr>
        <w:t>(B)</w:t>
      </w:r>
      <w:r w:rsidRPr="008071B4">
        <w:rPr>
          <w:rFonts w:ascii="Times New Roman" w:hAnsi="Times New Roman" w:cs="Times New Roman"/>
          <w:sz w:val="20"/>
          <w:szCs w:val="20"/>
        </w:rPr>
        <w:t xml:space="preserve"> Hexagonal density map showing metabolite frequency within the same PCA space.</w:t>
      </w:r>
    </w:p>
    <w:p w14:paraId="0175DAD1" w14:textId="0C1F7321" w:rsidR="006E229D" w:rsidRPr="008071B4" w:rsidRDefault="006E229D" w:rsidP="006E229D">
      <w:pPr>
        <w:rPr>
          <w:rFonts w:ascii="Times New Roman" w:hAnsi="Times New Roman" w:cs="Times New Roman"/>
          <w:sz w:val="20"/>
          <w:szCs w:val="20"/>
        </w:rPr>
      </w:pPr>
      <w:r w:rsidRPr="008071B4">
        <w:rPr>
          <w:rFonts w:ascii="Times New Roman" w:hAnsi="Times New Roman" w:cs="Times New Roman"/>
          <w:sz w:val="20"/>
          <w:szCs w:val="20"/>
        </w:rPr>
        <w:t xml:space="preserve">Distribution analysis of the </w:t>
      </w:r>
      <w:r w:rsidRPr="008071B4">
        <w:rPr>
          <w:rFonts w:ascii="Times New Roman" w:hAnsi="Times New Roman" w:cs="Times New Roman"/>
          <w:b/>
          <w:bCs/>
          <w:sz w:val="20"/>
          <w:szCs w:val="20"/>
        </w:rPr>
        <w:t>530 hydrated-associated metabolites</w:t>
      </w:r>
      <w:r w:rsidRPr="008071B4">
        <w:rPr>
          <w:rFonts w:ascii="Times New Roman" w:hAnsi="Times New Roman" w:cs="Times New Roman"/>
          <w:sz w:val="20"/>
          <w:szCs w:val="20"/>
        </w:rPr>
        <w:t xml:space="preserve"> showed a compact clustering pattern within the PC1–PC2 space, with </w:t>
      </w:r>
      <w:r w:rsidRPr="008071B4">
        <w:rPr>
          <w:rFonts w:ascii="Times New Roman" w:hAnsi="Times New Roman" w:cs="Times New Roman"/>
          <w:b/>
          <w:bCs/>
          <w:sz w:val="20"/>
          <w:szCs w:val="20"/>
        </w:rPr>
        <w:t>PC1 (40.8%)</w:t>
      </w:r>
      <w:r w:rsidRPr="008071B4">
        <w:rPr>
          <w:rFonts w:ascii="Times New Roman" w:hAnsi="Times New Roman" w:cs="Times New Roman"/>
          <w:sz w:val="20"/>
          <w:szCs w:val="20"/>
        </w:rPr>
        <w:t xml:space="preserve"> and </w:t>
      </w:r>
      <w:r w:rsidRPr="008071B4">
        <w:rPr>
          <w:rFonts w:ascii="Times New Roman" w:hAnsi="Times New Roman" w:cs="Times New Roman"/>
          <w:b/>
          <w:bCs/>
          <w:sz w:val="20"/>
          <w:szCs w:val="20"/>
        </w:rPr>
        <w:t>PC2 (31.6%)</w:t>
      </w:r>
      <w:r w:rsidRPr="008071B4">
        <w:rPr>
          <w:rFonts w:ascii="Times New Roman" w:hAnsi="Times New Roman" w:cs="Times New Roman"/>
          <w:sz w:val="20"/>
          <w:szCs w:val="20"/>
        </w:rPr>
        <w:t xml:space="preserve"> explaining most of the variance. Both the kernel density and hexagonal density plots identified a well-defined high-density core surrounded by a few dispersed metabolites. This distribution indicates that the hydrated metabolome is dominated by metabolites with similar multivariate characteristics, while only a small subset exhibited distinct abundance patterns, reflecting a structured and stable metabolic organization under hydrated conditions.</w:t>
      </w:r>
    </w:p>
    <w:p w14:paraId="2D3FF826" w14:textId="77777777" w:rsidR="00391670" w:rsidRPr="008071B4" w:rsidRDefault="00391670" w:rsidP="006E229D">
      <w:pPr>
        <w:rPr>
          <w:rFonts w:ascii="Times New Roman" w:hAnsi="Times New Roman" w:cs="Times New Roman"/>
          <w:sz w:val="20"/>
          <w:szCs w:val="20"/>
        </w:rPr>
      </w:pPr>
    </w:p>
    <w:p w14:paraId="7A740702" w14:textId="2A077425" w:rsidR="00391670" w:rsidRPr="008071B4" w:rsidRDefault="00391670" w:rsidP="006E229D">
      <w:pPr>
        <w:rPr>
          <w:rFonts w:ascii="Times New Roman" w:hAnsi="Times New Roman" w:cs="Times New Roman"/>
          <w:sz w:val="20"/>
          <w:szCs w:val="20"/>
        </w:rPr>
      </w:pPr>
      <w:r w:rsidRPr="008071B4">
        <w:rPr>
          <w:rFonts w:ascii="Times New Roman" w:hAnsi="Times New Roman" w:cs="Times New Roman"/>
          <w:sz w:val="20"/>
          <w:szCs w:val="20"/>
        </w:rPr>
        <w:t xml:space="preserve">Comparison of the hydrated- and desiccated-stage metabolite distributions revealed distinct differences in their organization within the PC1–PC2 space. In the hydrated stage, metabolites formed a compact high-density cluster, with </w:t>
      </w:r>
      <w:r w:rsidRPr="008071B4">
        <w:rPr>
          <w:rFonts w:ascii="Times New Roman" w:hAnsi="Times New Roman" w:cs="Times New Roman"/>
          <w:b/>
          <w:bCs/>
          <w:sz w:val="20"/>
          <w:szCs w:val="20"/>
        </w:rPr>
        <w:t>PC1 (40.8%)</w:t>
      </w:r>
      <w:r w:rsidRPr="008071B4">
        <w:rPr>
          <w:rFonts w:ascii="Times New Roman" w:hAnsi="Times New Roman" w:cs="Times New Roman"/>
          <w:sz w:val="20"/>
          <w:szCs w:val="20"/>
        </w:rPr>
        <w:t xml:space="preserve"> and </w:t>
      </w:r>
      <w:r w:rsidRPr="008071B4">
        <w:rPr>
          <w:rFonts w:ascii="Times New Roman" w:hAnsi="Times New Roman" w:cs="Times New Roman"/>
          <w:b/>
          <w:bCs/>
          <w:sz w:val="20"/>
          <w:szCs w:val="20"/>
        </w:rPr>
        <w:t>PC2 (31.6%)</w:t>
      </w:r>
      <w:r w:rsidRPr="008071B4">
        <w:rPr>
          <w:rFonts w:ascii="Times New Roman" w:hAnsi="Times New Roman" w:cs="Times New Roman"/>
          <w:sz w:val="20"/>
          <w:szCs w:val="20"/>
        </w:rPr>
        <w:t xml:space="preserve"> explaining </w:t>
      </w:r>
      <w:r w:rsidRPr="008071B4">
        <w:rPr>
          <w:rFonts w:ascii="Times New Roman" w:hAnsi="Times New Roman" w:cs="Times New Roman"/>
          <w:b/>
          <w:bCs/>
          <w:sz w:val="20"/>
          <w:szCs w:val="20"/>
        </w:rPr>
        <w:t>72.4%</w:t>
      </w:r>
      <w:r w:rsidRPr="008071B4">
        <w:rPr>
          <w:rFonts w:ascii="Times New Roman" w:hAnsi="Times New Roman" w:cs="Times New Roman"/>
          <w:sz w:val="20"/>
          <w:szCs w:val="20"/>
        </w:rPr>
        <w:t xml:space="preserve"> of the total variance. In contrast, the desiccated stage showed a broader distribution, with </w:t>
      </w:r>
      <w:r w:rsidRPr="008071B4">
        <w:rPr>
          <w:rFonts w:ascii="Times New Roman" w:hAnsi="Times New Roman" w:cs="Times New Roman"/>
          <w:b/>
          <w:bCs/>
          <w:sz w:val="20"/>
          <w:szCs w:val="20"/>
        </w:rPr>
        <w:t>PC1 (37.0%)</w:t>
      </w:r>
      <w:r w:rsidRPr="008071B4">
        <w:rPr>
          <w:rFonts w:ascii="Times New Roman" w:hAnsi="Times New Roman" w:cs="Times New Roman"/>
          <w:sz w:val="20"/>
          <w:szCs w:val="20"/>
        </w:rPr>
        <w:t xml:space="preserve"> and </w:t>
      </w:r>
      <w:r w:rsidRPr="008071B4">
        <w:rPr>
          <w:rFonts w:ascii="Times New Roman" w:hAnsi="Times New Roman" w:cs="Times New Roman"/>
          <w:b/>
          <w:bCs/>
          <w:sz w:val="20"/>
          <w:szCs w:val="20"/>
        </w:rPr>
        <w:t>PC2 (33.7%)</w:t>
      </w:r>
      <w:r w:rsidRPr="008071B4">
        <w:rPr>
          <w:rFonts w:ascii="Times New Roman" w:hAnsi="Times New Roman" w:cs="Times New Roman"/>
          <w:sz w:val="20"/>
          <w:szCs w:val="20"/>
        </w:rPr>
        <w:t xml:space="preserve"> accounting for </w:t>
      </w:r>
      <w:r w:rsidRPr="008071B4">
        <w:rPr>
          <w:rFonts w:ascii="Times New Roman" w:hAnsi="Times New Roman" w:cs="Times New Roman"/>
          <w:b/>
          <w:bCs/>
          <w:sz w:val="20"/>
          <w:szCs w:val="20"/>
        </w:rPr>
        <w:t>70.7%</w:t>
      </w:r>
      <w:r w:rsidRPr="008071B4">
        <w:rPr>
          <w:rFonts w:ascii="Times New Roman" w:hAnsi="Times New Roman" w:cs="Times New Roman"/>
          <w:sz w:val="20"/>
          <w:szCs w:val="20"/>
        </w:rPr>
        <w:t xml:space="preserve"> of the variance. Although both stages contained a well-defined high-density core, the desiccated metabolome exhibited greater dispersion and a higher proportion of peripheral metabolites than the hydrated stage. This shift from a compact to a more diffuse distribution suggests increased metabolic heterogeneity during desiccation, reflecting metabolic reorganization in response to dehydration, while the hydrated stage maintained a more conserved and coordinated metabolite profile. These distribution patterns complement the PCA and pathway analyses by demonstrating changes in the overall organization of the metabolome between the two physiological states.</w:t>
      </w:r>
    </w:p>
    <w:p w14:paraId="58B40921" w14:textId="6C38DF84" w:rsidR="00391670" w:rsidRPr="008071B4" w:rsidRDefault="00391670" w:rsidP="006E229D">
      <w:pPr>
        <w:rPr>
          <w:rFonts w:ascii="Times New Roman" w:hAnsi="Times New Roman" w:cs="Times New Roman"/>
          <w:sz w:val="20"/>
          <w:szCs w:val="20"/>
        </w:rPr>
      </w:pPr>
      <w:r w:rsidRPr="008071B4">
        <w:rPr>
          <w:rFonts w:ascii="Times New Roman" w:hAnsi="Times New Roman" w:cs="Times New Roman"/>
          <w:sz w:val="20"/>
          <w:szCs w:val="20"/>
        </w:rPr>
        <w:t>Comparison of the hydrated- and desiccated-stage metabolite distributions revealed differences in the overall organization of metabolites within the PC1–PC2 space. The hydrated-stage metabolites formed a compact high-density cluster, whereas the desiccated-stage metabolites showed a comparatively broader distribution with a greater number of metabolites extending towards the periphery. Although both stages retained a well-defined central metabolite core, the wider spread observed during desiccation suggests greater variability in metabolite distribution under dehydration. As these density analyses are descriptive, they do not establish statistical differences between the two stages. Nevertheless, the observed distribution patterns complement the PCA and metabolite profiling results, indicating that desiccation is associated with a reorganization of the metabolome relative to the hydrated state.</w:t>
      </w:r>
    </w:p>
    <w:sectPr w:rsidR="00391670" w:rsidRPr="008071B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3BCE"/>
    <w:rsid w:val="001006EA"/>
    <w:rsid w:val="00255128"/>
    <w:rsid w:val="00391670"/>
    <w:rsid w:val="0059414B"/>
    <w:rsid w:val="005C7335"/>
    <w:rsid w:val="006E229D"/>
    <w:rsid w:val="008071B4"/>
    <w:rsid w:val="009E0C45"/>
    <w:rsid w:val="00AB5B56"/>
    <w:rsid w:val="00B43316"/>
    <w:rsid w:val="00BF6926"/>
    <w:rsid w:val="00C62203"/>
    <w:rsid w:val="00CF4651"/>
    <w:rsid w:val="00DE4C5D"/>
    <w:rsid w:val="00E23BCE"/>
    <w:rsid w:val="00E23D2F"/>
    <w:rsid w:val="00E44290"/>
    <w:rsid w:val="00F9058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CFDFD5"/>
  <w14:defaultImageDpi w14:val="32767"/>
  <w15:chartTrackingRefBased/>
  <w15:docId w15:val="{3DB74A96-DE37-43D5-9522-A25F537CF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23BC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E23BC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E23BC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E23BC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E23BC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E23BC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23BC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23BC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23BC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3BCE"/>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23BC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3BC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23BC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23BC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23BC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23BC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23BC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23BCE"/>
    <w:rPr>
      <w:rFonts w:eastAsiaTheme="majorEastAsia" w:cstheme="majorBidi"/>
      <w:color w:val="272727" w:themeColor="text1" w:themeTint="D8"/>
    </w:rPr>
  </w:style>
  <w:style w:type="paragraph" w:styleId="Title">
    <w:name w:val="Title"/>
    <w:basedOn w:val="Normal"/>
    <w:next w:val="Normal"/>
    <w:link w:val="TitleChar"/>
    <w:uiPriority w:val="10"/>
    <w:qFormat/>
    <w:rsid w:val="00E23BC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23BC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23BC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23BC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23BCE"/>
    <w:pPr>
      <w:spacing w:before="160"/>
      <w:jc w:val="center"/>
    </w:pPr>
    <w:rPr>
      <w:i/>
      <w:iCs/>
      <w:color w:val="404040" w:themeColor="text1" w:themeTint="BF"/>
    </w:rPr>
  </w:style>
  <w:style w:type="character" w:customStyle="1" w:styleId="QuoteChar">
    <w:name w:val="Quote Char"/>
    <w:basedOn w:val="DefaultParagraphFont"/>
    <w:link w:val="Quote"/>
    <w:uiPriority w:val="29"/>
    <w:rsid w:val="00E23BCE"/>
    <w:rPr>
      <w:i/>
      <w:iCs/>
      <w:color w:val="404040" w:themeColor="text1" w:themeTint="BF"/>
    </w:rPr>
  </w:style>
  <w:style w:type="paragraph" w:styleId="ListParagraph">
    <w:name w:val="List Paragraph"/>
    <w:basedOn w:val="Normal"/>
    <w:uiPriority w:val="34"/>
    <w:qFormat/>
    <w:rsid w:val="00E23BCE"/>
    <w:pPr>
      <w:ind w:left="720"/>
      <w:contextualSpacing/>
    </w:pPr>
  </w:style>
  <w:style w:type="character" w:styleId="IntenseEmphasis">
    <w:name w:val="Intense Emphasis"/>
    <w:basedOn w:val="DefaultParagraphFont"/>
    <w:uiPriority w:val="21"/>
    <w:qFormat/>
    <w:rsid w:val="00E23BCE"/>
    <w:rPr>
      <w:i/>
      <w:iCs/>
      <w:color w:val="2F5496" w:themeColor="accent1" w:themeShade="BF"/>
    </w:rPr>
  </w:style>
  <w:style w:type="paragraph" w:styleId="IntenseQuote">
    <w:name w:val="Intense Quote"/>
    <w:basedOn w:val="Normal"/>
    <w:next w:val="Normal"/>
    <w:link w:val="IntenseQuoteChar"/>
    <w:uiPriority w:val="30"/>
    <w:qFormat/>
    <w:rsid w:val="00E23B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23BCE"/>
    <w:rPr>
      <w:i/>
      <w:iCs/>
      <w:color w:val="2F5496" w:themeColor="accent1" w:themeShade="BF"/>
    </w:rPr>
  </w:style>
  <w:style w:type="character" w:styleId="IntenseReference">
    <w:name w:val="Intense Reference"/>
    <w:basedOn w:val="DefaultParagraphFont"/>
    <w:uiPriority w:val="32"/>
    <w:qFormat/>
    <w:rsid w:val="00E23BCE"/>
    <w:rPr>
      <w:b/>
      <w:bCs/>
      <w:smallCaps/>
      <w:color w:val="2F5496" w:themeColor="accent1" w:themeShade="BF"/>
      <w:spacing w:val="5"/>
    </w:rPr>
  </w:style>
  <w:style w:type="character" w:styleId="Hyperlink">
    <w:name w:val="Hyperlink"/>
    <w:basedOn w:val="DefaultParagraphFont"/>
    <w:uiPriority w:val="99"/>
    <w:unhideWhenUsed/>
    <w:rsid w:val="00E44290"/>
    <w:rPr>
      <w:color w:val="0563C1" w:themeColor="hyperlink"/>
      <w:u w:val="single"/>
    </w:rPr>
  </w:style>
  <w:style w:type="character" w:styleId="UnresolvedMention">
    <w:name w:val="Unresolved Mention"/>
    <w:basedOn w:val="DefaultParagraphFont"/>
    <w:uiPriority w:val="99"/>
    <w:semiHidden/>
    <w:unhideWhenUsed/>
    <w:rsid w:val="00E442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doi.org/10.1038/s41592-019-0686-2" TargetMode="External"/><Relationship Id="rId11" Type="http://schemas.openxmlformats.org/officeDocument/2006/relationships/image" Target="media/image5.png"/><Relationship Id="rId5" Type="http://schemas.openxmlformats.org/officeDocument/2006/relationships/hyperlink" Target="https://doi.org/10.1109/MCSE.2007.55" TargetMode="External"/><Relationship Id="rId10" Type="http://schemas.openxmlformats.org/officeDocument/2006/relationships/image" Target="media/image4.png"/><Relationship Id="rId4" Type="http://schemas.openxmlformats.org/officeDocument/2006/relationships/hyperlink" Target="https://doi.org/10.1038/s41586-020-2649-2" TargetMode="Externa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220</TotalTime>
  <Pages>4</Pages>
  <Words>1390</Words>
  <Characters>7928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Rudresh H S</dc:creator>
  <cp:keywords/>
  <dc:description/>
  <cp:lastModifiedBy>Rudresh H S</cp:lastModifiedBy>
  <cp:revision>7</cp:revision>
  <dcterms:created xsi:type="dcterms:W3CDTF">2026-07-15T01:50:00Z</dcterms:created>
  <dcterms:modified xsi:type="dcterms:W3CDTF">2026-07-16T01:46:00Z</dcterms:modified>
</cp:coreProperties>
</file>